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5" w:rsidRDefault="00A745D0" w:rsidP="006B37D5">
      <w:pPr>
        <w:autoSpaceDE w:val="0"/>
        <w:autoSpaceDN w:val="0"/>
        <w:adjustRightInd w:val="0"/>
        <w:spacing w:line="240" w:lineRule="auto"/>
        <w:rPr>
          <w:rFonts w:ascii="Century Gothic" w:eastAsiaTheme="minorHAnsi" w:hAnsi="Century Gothic" w:cs="Arial"/>
          <w:b/>
          <w:bCs/>
          <w:sz w:val="22"/>
          <w:szCs w:val="22"/>
          <w:lang w:val="es-MX" w:eastAsia="en-US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6B37D5" w:rsidRPr="006B37D5">
        <w:rPr>
          <w:rFonts w:ascii="Arial" w:eastAsiaTheme="minorHAnsi" w:hAnsi="Arial" w:cs="Arial"/>
          <w:b/>
          <w:bCs/>
          <w:sz w:val="26"/>
          <w:szCs w:val="26"/>
          <w:lang w:val="es-MX" w:eastAsia="en-US"/>
        </w:rPr>
        <w:t>LA RECEPCIÓN DEL RECONOCIMIENTO 100% CAPACITADOS DE INFOCDMX.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</w:t>
      </w:r>
      <w:r w:rsidR="006B37D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5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>
        <w:rPr>
          <w:rFonts w:ascii="Arial" w:hAnsi="Arial" w:cs="Arial"/>
        </w:rPr>
        <w:t>Damas y caballeros; d</w:t>
      </w:r>
      <w:r w:rsidRPr="006B37D5">
        <w:rPr>
          <w:rFonts w:ascii="Arial" w:hAnsi="Arial" w:cs="Arial"/>
        </w:rPr>
        <w:t>istinguidas y distinguidos invitados: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A título personal e institucional, quiero reconocer, con especial gratitud, la honorable distin</w:t>
      </w:r>
      <w:r>
        <w:rPr>
          <w:rFonts w:ascii="Arial" w:hAnsi="Arial" w:cs="Arial"/>
        </w:rPr>
        <w:t>ción que se ha otorgado a esta c</w:t>
      </w:r>
      <w:r w:rsidRPr="006B37D5">
        <w:rPr>
          <w:rFonts w:ascii="Arial" w:hAnsi="Arial" w:cs="Arial"/>
        </w:rPr>
        <w:t xml:space="preserve">asa de </w:t>
      </w:r>
      <w:r>
        <w:rPr>
          <w:rFonts w:ascii="Arial" w:hAnsi="Arial" w:cs="Arial"/>
        </w:rPr>
        <w:t>j</w:t>
      </w:r>
      <w:r w:rsidRPr="006B37D5">
        <w:rPr>
          <w:rFonts w:ascii="Arial" w:hAnsi="Arial" w:cs="Arial"/>
        </w:rPr>
        <w:t xml:space="preserve">usticia.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Nuestro mayor aprecio y r</w:t>
      </w:r>
      <w:r>
        <w:rPr>
          <w:rFonts w:ascii="Arial" w:hAnsi="Arial" w:cs="Arial"/>
        </w:rPr>
        <w:t>econocimiento a la labor de la c</w:t>
      </w:r>
      <w:r w:rsidRPr="006B37D5">
        <w:rPr>
          <w:rFonts w:ascii="Arial" w:hAnsi="Arial" w:cs="Arial"/>
        </w:rPr>
        <w:t xml:space="preserve">omisionada </w:t>
      </w:r>
      <w:r>
        <w:rPr>
          <w:rFonts w:ascii="Arial" w:hAnsi="Arial" w:cs="Arial"/>
        </w:rPr>
        <w:t>c</w:t>
      </w:r>
      <w:r w:rsidRPr="006B37D5">
        <w:rPr>
          <w:rFonts w:ascii="Arial" w:hAnsi="Arial" w:cs="Arial"/>
        </w:rPr>
        <w:t xml:space="preserve">iudadana Marina San Martin Rebolloso, quien ha velado por la continuidad de esta conquista en favor de la transparencia y la apertura de la información pública.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A todo el equipo del Instituto de Transparencia, Acceso a la Información Pública, Protección de Datos Personales y Re</w:t>
      </w:r>
      <w:r>
        <w:rPr>
          <w:rFonts w:ascii="Arial" w:hAnsi="Arial" w:cs="Arial"/>
        </w:rPr>
        <w:t>ndición de Cuentas de la CDMX,</w:t>
      </w:r>
      <w:r w:rsidRPr="006B37D5">
        <w:rPr>
          <w:rFonts w:ascii="Arial" w:hAnsi="Arial" w:cs="Arial"/>
        </w:rPr>
        <w:t xml:space="preserve"> le profesamos la mayor admiración y respeto por su importante legado cultural.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Recibir esta distinción sólo cobra verdadero sentid</w:t>
      </w:r>
      <w:r>
        <w:rPr>
          <w:rFonts w:ascii="Arial" w:hAnsi="Arial" w:cs="Arial"/>
        </w:rPr>
        <w:t>o cuando se hace en nombre de lo</w:t>
      </w:r>
      <w:r w:rsidRPr="006B37D5">
        <w:rPr>
          <w:rFonts w:ascii="Arial" w:hAnsi="Arial" w:cs="Arial"/>
        </w:rPr>
        <w:t>s miles</w:t>
      </w:r>
      <w:r>
        <w:rPr>
          <w:rFonts w:ascii="Arial" w:hAnsi="Arial" w:cs="Arial"/>
        </w:rPr>
        <w:t xml:space="preserve"> </w:t>
      </w:r>
      <w:r w:rsidRPr="006B37D5">
        <w:rPr>
          <w:rFonts w:ascii="Arial" w:hAnsi="Arial" w:cs="Arial"/>
        </w:rPr>
        <w:t xml:space="preserve">de personas que materializan el compromiso institucional del Poder Judicial por esta causa histórica.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 xml:space="preserve">En el Poder Judicial creemos que la condición esencial del servicio público es que “las instituciones somos personas”; y ningún logro trascendente es meramente individual.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Es así como la ob</w:t>
      </w:r>
      <w:r>
        <w:rPr>
          <w:rFonts w:ascii="Arial" w:hAnsi="Arial" w:cs="Arial"/>
        </w:rPr>
        <w:t xml:space="preserve">tención de los reconocimientos </w:t>
      </w:r>
      <w:r w:rsidRPr="006B37D5">
        <w:rPr>
          <w:rFonts w:ascii="Arial" w:hAnsi="Arial" w:cs="Arial"/>
        </w:rPr>
        <w:t xml:space="preserve">100% capacitados es el resultado del compromiso fijado y cumplido por magistradas, magistrados, consejeras, consejeros, jueces, juezas, integrantes de los Comités de Transparencia, Unidades de Transparencia, así como todo el personal de estructura de las áreas administrativas y jurisdiccionales. </w:t>
      </w: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lastRenderedPageBreak/>
        <w:t xml:space="preserve">Y el día de hoy, reconocemos y celebramos la lealtad de su compromiso por una impartición de justicia eficiente, actualizada, asertiva, transparente y abierta a la ciudadanía.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 xml:space="preserve">Esta evolución nos define como generación; porque somos la única que ha enfrentado cambios de paradigma de forma y de fondo en el desempeño del servicio público en la Era de la Información.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Le damos la bienvenida</w:t>
      </w:r>
      <w:r>
        <w:rPr>
          <w:rFonts w:ascii="Arial" w:hAnsi="Arial" w:cs="Arial"/>
        </w:rPr>
        <w:t xml:space="preserve"> a este desafío</w:t>
      </w:r>
      <w:r w:rsidRPr="006B37D5">
        <w:rPr>
          <w:rFonts w:ascii="Arial" w:hAnsi="Arial" w:cs="Arial"/>
        </w:rPr>
        <w:t xml:space="preserve"> y lo encaramos permanentemente con capacitación y actualización en materia de Transparencia, Acceso a la Información Pública, Rendición de Cuentas, y Datos Personales.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 xml:space="preserve">La disciplina, la perseverancia y compromiso de nuestra comunidad han hecho de éste un proceso productivo y dinámico cuya influencia abarca todo nuestro alto tribunal.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Nuestro esfuerzo permite continuar avanzando en estos temas de tanto</w:t>
      </w:r>
      <w:r>
        <w:rPr>
          <w:rFonts w:ascii="Arial" w:hAnsi="Arial" w:cs="Arial"/>
        </w:rPr>
        <w:t xml:space="preserve"> interés, </w:t>
      </w:r>
      <w:r w:rsidRPr="006B37D5">
        <w:rPr>
          <w:rFonts w:ascii="Arial" w:hAnsi="Arial" w:cs="Arial"/>
        </w:rPr>
        <w:t>como son la atención de sus solicitudes de Acc</w:t>
      </w:r>
      <w:r>
        <w:rPr>
          <w:rFonts w:ascii="Arial" w:hAnsi="Arial" w:cs="Arial"/>
        </w:rPr>
        <w:t xml:space="preserve">eso a la Información Pública, </w:t>
      </w:r>
      <w:r w:rsidRPr="006B37D5">
        <w:rPr>
          <w:rFonts w:ascii="Arial" w:hAnsi="Arial" w:cs="Arial"/>
        </w:rPr>
        <w:t>Solicitudes de Acceso, Rectificación, Cancelación y Oposici</w:t>
      </w:r>
      <w:r>
        <w:rPr>
          <w:rFonts w:ascii="Arial" w:hAnsi="Arial" w:cs="Arial"/>
        </w:rPr>
        <w:t xml:space="preserve">ón a Datos personales, </w:t>
      </w:r>
      <w:r w:rsidRPr="006B37D5">
        <w:rPr>
          <w:rFonts w:ascii="Arial" w:hAnsi="Arial" w:cs="Arial"/>
        </w:rPr>
        <w:t xml:space="preserve">así como mantener actualizada la información inherente a las Obligaciones de Transparencia que debe publicar el Poder Judicial en sus respectivos portales de transparencia.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Esto nos ayudará a ampliar la conciencia ciudadana y visibilizar con mayor claridad las siguientes fases</w:t>
      </w:r>
      <w:r>
        <w:rPr>
          <w:rFonts w:ascii="Arial" w:hAnsi="Arial" w:cs="Arial"/>
        </w:rPr>
        <w:t xml:space="preserve"> de esta evolución: </w:t>
      </w:r>
      <w:r w:rsidRPr="006B37D5">
        <w:rPr>
          <w:rFonts w:ascii="Arial" w:hAnsi="Arial" w:cs="Arial"/>
        </w:rPr>
        <w:t>desde los criterios mediante los cuales se imparte justicia, y consultar las sentencias que encuentran publicadas en nuestro Sistema de Versiones Públicas, que cuenta a la fecha con un total de 136,833 sentencias de primera y segunda instancia.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>
        <w:rPr>
          <w:rFonts w:ascii="Arial" w:hAnsi="Arial" w:cs="Arial"/>
        </w:rPr>
        <w:t>Aspiramos a que este esfuerzo</w:t>
      </w:r>
      <w:r w:rsidRPr="006B37D5">
        <w:rPr>
          <w:rFonts w:ascii="Arial" w:hAnsi="Arial" w:cs="Arial"/>
        </w:rPr>
        <w:t xml:space="preserve"> refleje siempre el compromiso de proteger la información de todas aquellas personas que son parte de una controversia judicial en todas las materias </w:t>
      </w:r>
      <w:r>
        <w:rPr>
          <w:rFonts w:ascii="Arial" w:hAnsi="Arial" w:cs="Arial"/>
        </w:rPr>
        <w:t>que atiende esta c</w:t>
      </w:r>
      <w:r w:rsidRPr="006B37D5">
        <w:rPr>
          <w:rFonts w:ascii="Arial" w:hAnsi="Arial" w:cs="Arial"/>
        </w:rPr>
        <w:t xml:space="preserve">asa de </w:t>
      </w:r>
      <w:r>
        <w:rPr>
          <w:rFonts w:ascii="Arial" w:hAnsi="Arial" w:cs="Arial"/>
        </w:rPr>
        <w:t>j</w:t>
      </w:r>
      <w:r w:rsidRPr="006B37D5">
        <w:rPr>
          <w:rFonts w:ascii="Arial" w:hAnsi="Arial" w:cs="Arial"/>
        </w:rPr>
        <w:t>usticia.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Agradezco el acompañamiento, preparación y cercanía</w:t>
      </w:r>
      <w:r>
        <w:rPr>
          <w:rFonts w:ascii="Arial" w:hAnsi="Arial" w:cs="Arial"/>
        </w:rPr>
        <w:t xml:space="preserve"> de todo el Instituto. </w:t>
      </w:r>
      <w:r w:rsidRPr="006B37D5">
        <w:rPr>
          <w:rFonts w:ascii="Arial" w:hAnsi="Arial" w:cs="Arial"/>
        </w:rPr>
        <w:t xml:space="preserve">Gracias a su </w:t>
      </w:r>
      <w:r>
        <w:rPr>
          <w:rFonts w:ascii="Arial" w:hAnsi="Arial" w:cs="Arial"/>
        </w:rPr>
        <w:t>p</w:t>
      </w:r>
      <w:r w:rsidRPr="006B37D5">
        <w:rPr>
          <w:rFonts w:ascii="Arial" w:hAnsi="Arial" w:cs="Arial"/>
        </w:rPr>
        <w:t xml:space="preserve">residente </w:t>
      </w:r>
      <w:r>
        <w:rPr>
          <w:rFonts w:ascii="Arial" w:hAnsi="Arial" w:cs="Arial"/>
        </w:rPr>
        <w:t>c</w:t>
      </w:r>
      <w:r w:rsidRPr="006B37D5">
        <w:rPr>
          <w:rFonts w:ascii="Arial" w:hAnsi="Arial" w:cs="Arial"/>
        </w:rPr>
        <w:t>iudadano, Arístides Rodrigo</w:t>
      </w:r>
      <w:r>
        <w:rPr>
          <w:rFonts w:ascii="Arial" w:hAnsi="Arial" w:cs="Arial"/>
        </w:rPr>
        <w:t xml:space="preserve"> Guerrero García;</w:t>
      </w:r>
      <w:r w:rsidRPr="006B37D5">
        <w:rPr>
          <w:rFonts w:ascii="Arial" w:hAnsi="Arial" w:cs="Arial"/>
        </w:rPr>
        <w:t xml:space="preserve"> los comisionados integrantes de </w:t>
      </w:r>
      <w:r w:rsidRPr="006B37D5">
        <w:rPr>
          <w:rFonts w:ascii="Arial" w:hAnsi="Arial" w:cs="Arial"/>
        </w:rPr>
        <w:lastRenderedPageBreak/>
        <w:t>este Instituto: Julio Cesar Bonilla Gutiérrez, Laura Lizette Enríquez Rodríguez, María del Carmen Nava Polina y María Alicia San Martín Rebolloso, así como de todo su equipo.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Su asesoría y orientación brindada al Poder Judicial, ha hecho posible lograr estos objetivos de capacitación y concientización.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Seguiremos trabajando permanentemente para brindar la mejor atención a la sociedad; atender sus inquietudes, orientar un ejercicio informado y transparente del de</w:t>
      </w:r>
      <w:r>
        <w:rPr>
          <w:rFonts w:ascii="Arial" w:hAnsi="Arial" w:cs="Arial"/>
        </w:rPr>
        <w:t xml:space="preserve">recho a la Información pública </w:t>
      </w:r>
      <w:bookmarkStart w:id="0" w:name="_GoBack"/>
      <w:bookmarkEnd w:id="0"/>
      <w:r w:rsidRPr="006B37D5">
        <w:rPr>
          <w:rFonts w:ascii="Arial" w:hAnsi="Arial" w:cs="Arial"/>
        </w:rPr>
        <w:t>y garantizar el resguardo de sus datos personales.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 xml:space="preserve">Conjugamos nuestro compromiso de colaboración; nuestro espíritu de servicio; y nuestra ética de trabajo en beneficio de la ciudadanía.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 xml:space="preserve">Muchas gracias. </w:t>
      </w:r>
    </w:p>
    <w:p w:rsidR="006B37D5" w:rsidRPr="006B37D5" w:rsidRDefault="006B37D5" w:rsidP="006B37D5">
      <w:pPr>
        <w:rPr>
          <w:rFonts w:ascii="Arial" w:hAnsi="Arial" w:cs="Arial"/>
        </w:rPr>
      </w:pPr>
    </w:p>
    <w:p w:rsidR="006B37D5" w:rsidRPr="006B37D5" w:rsidRDefault="006B37D5" w:rsidP="006B37D5">
      <w:pPr>
        <w:rPr>
          <w:rFonts w:ascii="Arial" w:hAnsi="Arial" w:cs="Arial"/>
        </w:rPr>
      </w:pPr>
      <w:r w:rsidRPr="006B37D5">
        <w:rPr>
          <w:rFonts w:ascii="Arial" w:hAnsi="Arial" w:cs="Arial"/>
        </w:rPr>
        <w:t>Seguimos trabajando.</w:t>
      </w:r>
    </w:p>
    <w:sectPr w:rsidR="006B37D5" w:rsidRPr="006B37D5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AC" w:rsidRDefault="008122AC" w:rsidP="00A639AD">
      <w:r>
        <w:separator/>
      </w:r>
    </w:p>
  </w:endnote>
  <w:endnote w:type="continuationSeparator" w:id="0">
    <w:p w:rsidR="008122AC" w:rsidRDefault="008122AC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6858A0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AC" w:rsidRDefault="008122AC" w:rsidP="00A639AD">
      <w:r>
        <w:separator/>
      </w:r>
    </w:p>
  </w:footnote>
  <w:footnote w:type="continuationSeparator" w:id="0">
    <w:p w:rsidR="008122AC" w:rsidRDefault="008122AC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8A0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B37D5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2AC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A599CC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5531-9682-46AE-A441-1B51BD2D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2023-10-12T18:33:00Z</dcterms:created>
  <dcterms:modified xsi:type="dcterms:W3CDTF">2023-10-12T18:33:00Z</dcterms:modified>
</cp:coreProperties>
</file>